
<file path=[Content_Types].xml><?xml version="1.0" encoding="utf-8"?>
<Types xmlns="http://schemas.openxmlformats.org/package/2006/content-types">
  <Default Extension="xml" ContentType="application/xml"/>
  <Default Extension="emf" ContentType="image/x-emf"/>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九</w:t>
                  </w:r>
                  <w:r>
                    <w:rPr>
                      <w:rFonts w:hint="eastAsia" w:ascii="楷体_GB2312" w:hAnsi="楷体_GB2312" w:eastAsia="楷体_GB2312" w:cs="楷体_GB2312"/>
                      <w:color w:val="000000" w:themeColor="text1"/>
                      <w:kern w:val="0"/>
                      <w:sz w:val="44"/>
                      <w:szCs w:val="44"/>
                    </w:rPr>
                    <w:t>月</w:t>
                  </w:r>
                </w:p>
              </w:txbxContent>
            </v:textbox>
          </v:shape>
        </w:pict>
      </w:r>
      <w:r>
        <w:pict>
          <v:shape id="椭圆 8" o:spid="_x0000_s1051"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3.35pt;height:69.6pt;width:600.25pt;z-index:-251649024;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rect id="矩形 11" o:spid="_x0000_s1042"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香河县医疗保障局</w:t>
      </w:r>
    </w:p>
    <w:p>
      <w:pPr>
        <w:snapToGrid w:val="0"/>
        <w:jc w:val="center"/>
        <w:rPr>
          <w:rFonts w:ascii="楷体_GB2312" w:hAnsi="楷体_GB2312" w:eastAsia="楷体_GB2312" w:cs="楷体_GB2312"/>
          <w:color w:val="000000" w:themeColor="text1"/>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九</w:t>
      </w:r>
      <w:r>
        <w:rPr>
          <w:rFonts w:hint="eastAsia" w:ascii="楷体_GB2312" w:hAnsi="楷体_GB2312" w:eastAsia="楷体_GB2312" w:cs="楷体_GB2312"/>
          <w:color w:val="000000" w:themeColor="text1"/>
          <w:kern w:val="0"/>
          <w:sz w:val="44"/>
          <w:szCs w:val="44"/>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2" focussize="0,0" r:id="rId26"/>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4" w:lineRule="exact"/>
        <w:rPr>
          <w:rFonts w:ascii="楷体" w:hAnsi="楷体" w:eastAsia="楷体"/>
          <w:b/>
          <w:sz w:val="32"/>
          <w:szCs w:val="32"/>
        </w:rPr>
      </w:pPr>
      <w:r>
        <w:rPr>
          <w:rFonts w:ascii="楷体" w:hAnsi="楷体" w:eastAsia="楷体"/>
          <w:b/>
          <w:sz w:val="32"/>
          <w:szCs w:val="32"/>
        </w:rPr>
        <w:t>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1、贯彻落实市城镇职工和城乡居民医疗保险、生育保险、大病保险、医疗救助等医疗保障地方性政策、制度、规划和标准。贯彻落实省市离休干部医疗费社会统筹政策并组织实施。</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2、贯彻落实市医疗保障基金监督管理办法，建立健全医疗保障基金安全防控机制，组织建设智能监控平台，推进医疗保障基金支付方式改革，并组织实施。</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3、贯彻落实市城镇职工、城乡居民参保筹资和保障待遇政策，统筹城乡医疗保障政策标准，建立健全与筹资水平相适应的待遇调整机制。贯彻落实市长期护理保险制度方案及政策标准并组织实施。</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4、贯彻落实市城乡统一的药品、医用耗材、医疗服务项目、医疗服务设施等医保目录、医疗服务设施的医保支付标准并组织实施，建立动态调整机制。</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贯彻落实市药品、医用耗材价格和医疗服务项目、医疗服务设施收费等政策。建立医保支付医药服务价格合理确定和动态调整机制，依法管理药品、医用耗材、医疗服务价格政策执行情况。建立和完善药品、医用耗材和医疗服务价格监测信息发布制度。</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6、贯彻落实市药品、医用耗材的招标采购政策，做好监督工作。按省市相关文件要求做好药品、医用耗材招标采购平台建设工作。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7、组织实施市定点医药机构协议和支付管理办法。建立健全医疗保障信用评价体系和信息披露制度，监督管理定点医药机构的医疗服务行为、医疗费用和医药价格，依法查处医疗保障领域违法违规行为。</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8、负责医疗保障经办管理、公共服务体系和信息化建设。落实和完善异地就医管理和费用结算政策并组织实施。建立健全医疗保障关系转移接续制度。</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9、完成县委、县政府交办的其他任务。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3 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香河县医疗保障局（本级）</w:t>
            </w:r>
          </w:p>
        </w:tc>
        <w:tc>
          <w:tcPr>
            <w:tcW w:w="244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香河县城乡居民医疗保险管理中心</w:t>
            </w:r>
          </w:p>
        </w:tc>
        <w:tc>
          <w:tcPr>
            <w:tcW w:w="244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266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香河县城镇职工医疗保险管理中心</w:t>
            </w:r>
          </w:p>
        </w:tc>
        <w:tc>
          <w:tcPr>
            <w:tcW w:w="244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266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9100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2" focussize="0,0" r:id="rId26"/>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本部门2019年度收支总计（含结转和结余）19923.44万元。与2018年度决算相比，收支各增加</w:t>
      </w:r>
      <w:r>
        <w:rPr>
          <w:rFonts w:hint="eastAsia" w:ascii="仿宋_GB2312" w:hAnsi="Times New Roman" w:eastAsia="仿宋_GB2312" w:cs="DengXian-Regular"/>
          <w:sz w:val="32"/>
          <w:szCs w:val="32"/>
          <w:highlight w:val="none"/>
          <w:lang w:val="en-US" w:eastAsia="zh-CN"/>
        </w:rPr>
        <w:t>19923.44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机构改革新增部门</w:t>
      </w:r>
      <w:r>
        <w:rPr>
          <w:rFonts w:hint="eastAsia" w:ascii="Times New Roman" w:hAnsi="Times New Roman" w:eastAsia="仿宋_GB2312"/>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本部门2019年度本年收入合计19906.08万元，其中：财政拨款收入19906.08万元，占100%；事业收入0万元，占0%；经营收入0万元，占0%；其他收入0万元，占0%。</w:t>
      </w:r>
      <w:r>
        <w:rPr>
          <w:rFonts w:ascii="Times New Roman" w:hAnsi="Times New Roman" w:eastAsia="宋体" w:cs="Times New Roman"/>
          <w:szCs w:val="24"/>
        </w:rPr>
        <w:pict>
          <v:group id="_x0000_s1036" o:spid="_x0000_s1036" o:spt="203" style="position:absolute;left:0pt;margin-left:71.65pt;margin-top:19.55pt;height:217.5pt;width:308.75pt;z-index:251683840;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v:shape id="图片 1" o:spid="_x0000_s1038"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27" cropleft="2131f" croptop="1490f" cropright="1218f" cropbottom="5217f" o:title=""/>
              <o:lock v:ext="edit" aspectratio="t"/>
            </v:shape>
            <v:shape id="文本框 32" o:spid="_x0000_s1037" o:spt="202" type="#_x0000_t202" style="position:absolute;left:7580;top:183134;height:615;width:3630;"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本部门2019年度本年支出合计19922.85万元，其中：基本支出961.40万元，占4.83%；项目支出18961.45万元，占95.17%；经营支出0万元，占0%。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本部门2019年度形成的财政拨款收支均为一般公共预算财政拨款，其中本年收入19906.08万元,比2018年度增加</w:t>
      </w:r>
      <w:r>
        <w:rPr>
          <w:rFonts w:hint="eastAsia" w:ascii="仿宋_GB2312" w:hAnsi="Times New Roman" w:eastAsia="仿宋_GB2312" w:cs="DengXian-Regular"/>
          <w:sz w:val="32"/>
          <w:szCs w:val="32"/>
          <w:lang w:val="en-US" w:eastAsia="zh-CN"/>
        </w:rPr>
        <w:t>19906.08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机构改革新增部门</w:t>
      </w:r>
      <w:r>
        <w:rPr>
          <w:rFonts w:hint="eastAsia" w:ascii="仿宋_GB2312" w:hAnsi="Times New Roman" w:eastAsia="仿宋_GB2312" w:cs="DengXian-Regular"/>
          <w:sz w:val="32"/>
          <w:szCs w:val="32"/>
        </w:rPr>
        <w:t>；本年支出19922.85万元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比2018年度增加</w:t>
      </w:r>
      <w:r>
        <w:rPr>
          <w:rFonts w:hint="eastAsia" w:ascii="仿宋_GB2312" w:hAnsi="Times New Roman" w:eastAsia="仿宋_GB2312" w:cs="DengXian-Regular"/>
          <w:sz w:val="32"/>
          <w:szCs w:val="32"/>
          <w:lang w:val="en-US" w:eastAsia="zh-CN"/>
        </w:rPr>
        <w:t>19922.85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机构改革新增部门</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本部门2019年度一般公共预算财政拨款收入19906.08万元，完成年初预算的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19906.08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机构改革新增部门。</w:t>
      </w:r>
      <w:r>
        <w:rPr>
          <w:rFonts w:hint="eastAsia" w:ascii="仿宋_GB2312" w:hAnsi="Times New Roman" w:eastAsia="仿宋_GB2312" w:cs="DengXian-Regular"/>
          <w:sz w:val="32"/>
          <w:szCs w:val="32"/>
        </w:rPr>
        <w:t>本年支出19922.85万元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完成年初预算的100%，</w:t>
      </w:r>
      <w:r>
        <w:rPr>
          <w:rFonts w:hint="eastAsia" w:ascii="仿宋_GB2312" w:hAnsi="Times New Roman" w:eastAsia="仿宋_GB2312" w:cs="DengXian-Regular"/>
          <w:sz w:val="32"/>
          <w:szCs w:val="32"/>
        </w:rPr>
        <w:t>比</w:t>
      </w:r>
      <w:r>
        <w:rPr>
          <w:rFonts w:hint="eastAsia" w:ascii="仿宋_GB2312" w:hAnsi="Times New Roman" w:eastAsia="仿宋_GB2312" w:cs="DengXian-Regular"/>
          <w:sz w:val="32"/>
          <w:szCs w:val="32"/>
          <w:lang w:val="en-US" w:eastAsia="zh-CN"/>
        </w:rPr>
        <w:t>年初预算</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19922.85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机构改革新增部门</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年度财政拨款支出19922.85万元，主要用于以下方面：社会保障和就业（类）支出521.60万元，占2.62%；卫生健康支出（类）支出19359.49万元，占97.17%；住房保障（类）支出41.75万元，占 0.21%。</w:t>
      </w:r>
      <w:r>
        <w:rPr>
          <w:rFonts w:hint="eastAsia" w:ascii="仿宋_GB2312" w:hAnsi="Times New Roman" w:eastAsia="仿宋_GB2312" w:cs="DengXian-Regular"/>
          <w:sz w:val="32"/>
          <w:szCs w:val="32"/>
        </w:rPr>
        <w:pict>
          <v:group id="_x0000_s1030" o:spid="_x0000_s1030" o:spt="203" style="position:absolute;left:0pt;margin-left:77.25pt;margin-top:16.6pt;height:173.95pt;width:281.6pt;z-index:-251626496;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27"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年度财政拨款基本支出961.40万元，其中：人员经费 741.75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219.65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pStyle w:val="3"/>
        <w:spacing w:before="0" w:beforeLines="0" w:after="0" w:afterLines="0" w:line="580" w:lineRule="exact"/>
        <w:ind w:firstLine="640" w:firstLineChars="200"/>
        <w:rPr>
          <w:rFonts w:hint="eastAsia" w:ascii="Times New Roman" w:hAnsi="Times New Roman" w:eastAsia="仿宋_GB2312"/>
          <w:b w:val="0"/>
          <w:bCs w:val="0"/>
          <w:lang w:eastAsia="zh-CN"/>
        </w:rPr>
      </w:pPr>
      <w:r>
        <w:rPr>
          <w:rFonts w:hint="eastAsia" w:ascii="仿宋_GB2312" w:hAnsi="Times New Roman" w:eastAsia="仿宋_GB2312" w:cs="DengXian-Regular"/>
          <w:b w:val="0"/>
          <w:bCs w:val="0"/>
          <w:kern w:val="2"/>
          <w:sz w:val="32"/>
          <w:szCs w:val="32"/>
          <w:lang w:val="en-US" w:eastAsia="zh-CN" w:bidi="ar-SA"/>
        </w:rPr>
        <w:t>本部门2019年度“三公”经费支出共计1.90万元，比预算增加0万元，增加0%，比2018年决算增加1.9万元，增加100%，主要原因是机构改革新增部门</w:t>
      </w:r>
      <w:r>
        <w:rPr>
          <w:rFonts w:hint="eastAsia" w:ascii="Times New Roman" w:hAnsi="Times New Roman" w:eastAsia="仿宋_GB2312"/>
          <w:b w:val="0"/>
          <w:bCs w:val="0"/>
          <w:lang w:eastAsia="zh-CN"/>
        </w:rPr>
        <w:t>。</w:t>
      </w:r>
    </w:p>
    <w:p>
      <w:pPr>
        <w:numPr>
          <w:ilvl w:val="0"/>
          <w:numId w:val="2"/>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 w:hAnsi="楷体" w:eastAsia="楷体" w:cs="楷体"/>
          <w:b/>
          <w:bCs/>
          <w:sz w:val="32"/>
          <w:szCs w:val="32"/>
        </w:rPr>
        <w:t>因公出国（境）费支出</w:t>
      </w:r>
      <w:r>
        <w:rPr>
          <w:rFonts w:hint="eastAsia" w:ascii="楷体" w:hAnsi="楷体" w:eastAsia="楷体" w:cs="楷体"/>
          <w:b/>
          <w:bCs/>
          <w:sz w:val="32"/>
          <w:szCs w:val="32"/>
          <w:lang w:val="en-US" w:eastAsia="zh-CN"/>
        </w:rPr>
        <w:t>0</w:t>
      </w:r>
      <w:r>
        <w:rPr>
          <w:rFonts w:hint="eastAsia" w:ascii="楷体" w:hAnsi="楷体" w:eastAsia="楷体" w:cs="楷体"/>
          <w:b/>
          <w:bCs/>
          <w:sz w:val="32"/>
          <w:szCs w:val="32"/>
        </w:rPr>
        <w:t>万元。</w:t>
      </w:r>
      <w:r>
        <w:rPr>
          <w:rFonts w:hint="eastAsia" w:ascii="仿宋_GB2312" w:hAnsi="Times New Roman" w:eastAsia="仿宋_GB2312" w:cs="DengXian-Regular"/>
          <w:sz w:val="32"/>
          <w:szCs w:val="32"/>
        </w:rPr>
        <w:t>本部门2019年度因公出国（境）团组0个、共0人/参加其他单位组织的因公出国（境）团组0个、共0人/无本单位组织的出国（境）团组。因公出国（境）费支出较年初预算无增减变化；较201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年度决算无增减变化。</w:t>
      </w:r>
    </w:p>
    <w:p>
      <w:pPr>
        <w:adjustRightInd w:val="0"/>
        <w:snapToGrid w:val="0"/>
        <w:spacing w:line="580" w:lineRule="exact"/>
        <w:ind w:firstLine="643" w:firstLineChars="200"/>
        <w:rPr>
          <w:rFonts w:hint="eastAsia" w:ascii="仿宋_GB2312" w:hAnsi="Times New Roman" w:eastAsia="仿宋_GB2312" w:cs="DengXian-Regular"/>
          <w:sz w:val="32"/>
          <w:szCs w:val="32"/>
          <w:lang w:val="en-US" w:eastAsia="zh-CN"/>
        </w:rPr>
      </w:pPr>
      <w:r>
        <w:rPr>
          <w:rFonts w:hint="eastAsia" w:ascii="楷体" w:hAnsi="楷体" w:eastAsia="楷体" w:cs="楷体"/>
          <w:b/>
          <w:bCs/>
          <w:sz w:val="32"/>
          <w:szCs w:val="32"/>
        </w:rPr>
        <w:t>（二）公务用车购置及运行维护费支出</w:t>
      </w:r>
      <w:r>
        <w:rPr>
          <w:rFonts w:hint="eastAsia" w:ascii="楷体" w:hAnsi="楷体" w:eastAsia="楷体" w:cs="楷体"/>
          <w:b/>
          <w:bCs/>
          <w:sz w:val="32"/>
          <w:szCs w:val="32"/>
          <w:lang w:val="en-US" w:eastAsia="zh-CN"/>
        </w:rPr>
        <w:t>1.9</w:t>
      </w:r>
      <w:r>
        <w:rPr>
          <w:rFonts w:hint="eastAsia" w:ascii="楷体" w:hAnsi="楷体" w:eastAsia="楷体" w:cs="楷体"/>
          <w:b/>
          <w:bCs/>
          <w:sz w:val="32"/>
          <w:szCs w:val="32"/>
        </w:rPr>
        <w:t>万元。</w:t>
      </w:r>
      <w:r>
        <w:rPr>
          <w:rFonts w:hint="eastAsia" w:ascii="仿宋_GB2312" w:hAnsi="Times New Roman" w:eastAsia="仿宋_GB2312" w:cs="DengXian-Regular"/>
          <w:sz w:val="32"/>
          <w:szCs w:val="32"/>
        </w:rPr>
        <w:t>本部门2019年度公务用车购置及运行维护费支出</w:t>
      </w:r>
      <w:r>
        <w:rPr>
          <w:rFonts w:hint="eastAsia" w:ascii="仿宋_GB2312" w:hAnsi="Times New Roman" w:eastAsia="仿宋_GB2312" w:cs="DengXian-Regular"/>
          <w:sz w:val="32"/>
          <w:szCs w:val="32"/>
          <w:lang w:val="en-US" w:eastAsia="zh-CN"/>
        </w:rPr>
        <w:t>支出1.9万元</w:t>
      </w:r>
      <w:r>
        <w:rPr>
          <w:rFonts w:hint="eastAsia" w:ascii="仿宋_GB2312" w:hAnsi="Times New Roman" w:eastAsia="仿宋_GB2312" w:cs="DengXian-Regular"/>
          <w:sz w:val="32"/>
          <w:szCs w:val="32"/>
        </w:rPr>
        <w:t>。公务用车购置及运行维护费较预算</w:t>
      </w:r>
      <w:r>
        <w:rPr>
          <w:rFonts w:hint="eastAsia" w:ascii="仿宋_GB2312" w:hAnsi="Times New Roman" w:eastAsia="仿宋_GB2312" w:cs="DengXian-Regular"/>
          <w:sz w:val="32"/>
          <w:szCs w:val="32"/>
          <w:lang w:val="en-US" w:eastAsia="zh-CN"/>
        </w:rPr>
        <w:t>增加0万元</w:t>
      </w:r>
      <w:r>
        <w:rPr>
          <w:rFonts w:hint="eastAsia" w:ascii="仿宋_GB2312" w:hAnsi="Times New Roman" w:eastAsia="仿宋_GB2312" w:cs="DengXian-Regular"/>
          <w:sz w:val="32"/>
          <w:szCs w:val="32"/>
        </w:rPr>
        <w:t>；较201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w:t>
      </w:r>
      <w:r>
        <w:rPr>
          <w:rFonts w:hint="eastAsia" w:ascii="仿宋_GB2312" w:hAnsi="Times New Roman" w:eastAsia="仿宋_GB2312" w:cs="DengXian-Regular"/>
          <w:sz w:val="32"/>
          <w:szCs w:val="32"/>
          <w:lang w:val="en-US" w:eastAsia="zh-CN"/>
        </w:rPr>
        <w:t>增加1.9万元，主要原因是机构改革新增部门</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 w:hAnsi="楷体" w:eastAsia="楷体" w:cs="楷体"/>
          <w:b/>
          <w:sz w:val="32"/>
          <w:szCs w:val="32"/>
        </w:rPr>
        <w:t>公务用车购置费：</w:t>
      </w:r>
      <w:r>
        <w:rPr>
          <w:rFonts w:hint="eastAsia" w:ascii="仿宋_GB2312" w:hAnsi="Times New Roman" w:eastAsia="仿宋_GB2312" w:cs="DengXian-Regular"/>
          <w:sz w:val="32"/>
          <w:szCs w:val="32"/>
        </w:rPr>
        <w:t>本部门2019年度未发生公务用车购置费支出。公务用车购置费较预算无增减变化；较201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年度决算无增减变化。</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 w:hAnsi="楷体" w:eastAsia="楷体" w:cs="楷体"/>
          <w:b/>
          <w:sz w:val="32"/>
          <w:szCs w:val="32"/>
        </w:rPr>
        <w:t>公务用车运行维护费：</w:t>
      </w:r>
      <w:r>
        <w:rPr>
          <w:rFonts w:hint="eastAsia" w:ascii="仿宋_GB2312" w:hAnsi="Times New Roman" w:eastAsia="仿宋_GB2312" w:cs="DengXian-Regular"/>
          <w:sz w:val="32"/>
          <w:szCs w:val="32"/>
        </w:rPr>
        <w:t>本部门2019年度单位公务用车保有量1辆，发生运行经费支出1.90万元，较预算</w:t>
      </w:r>
      <w:r>
        <w:rPr>
          <w:rFonts w:hint="eastAsia" w:ascii="仿宋_GB2312" w:hAnsi="Times New Roman" w:eastAsia="仿宋_GB2312" w:cs="DengXian-Regular"/>
          <w:sz w:val="32"/>
          <w:szCs w:val="32"/>
          <w:lang w:val="en-US" w:eastAsia="zh-CN"/>
        </w:rPr>
        <w:t>公务用车运行经费支出增加0万元</w:t>
      </w:r>
      <w:r>
        <w:rPr>
          <w:rFonts w:hint="eastAsia" w:ascii="仿宋_GB2312" w:hAnsi="Times New Roman" w:eastAsia="仿宋_GB2312" w:cs="DengXian-Regular"/>
          <w:sz w:val="32"/>
          <w:szCs w:val="32"/>
        </w:rPr>
        <w:t>；较201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w:t>
      </w:r>
      <w:r>
        <w:rPr>
          <w:rFonts w:hint="eastAsia" w:ascii="仿宋_GB2312" w:hAnsi="Times New Roman" w:eastAsia="仿宋_GB2312" w:cs="DengXian-Regular"/>
          <w:sz w:val="32"/>
          <w:szCs w:val="32"/>
          <w:lang w:val="en-US" w:eastAsia="zh-CN"/>
        </w:rPr>
        <w:t>公务用车运行经费增加1.9万元，主要原因是机构改革新增部门</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 w:hAnsi="楷体" w:eastAsia="楷体" w:cs="楷体"/>
          <w:b/>
          <w:bCs/>
          <w:sz w:val="32"/>
          <w:szCs w:val="32"/>
        </w:rPr>
        <w:t>（</w:t>
      </w:r>
      <w:r>
        <w:rPr>
          <w:rFonts w:hint="eastAsia" w:ascii="楷体" w:hAnsi="楷体" w:eastAsia="楷体" w:cs="楷体"/>
          <w:sz w:val="32"/>
          <w:szCs w:val="32"/>
        </w:rPr>
        <w:t>三）公务接待费支出</w:t>
      </w:r>
      <w:r>
        <w:rPr>
          <w:rFonts w:hint="eastAsia" w:ascii="楷体" w:hAnsi="楷体" w:eastAsia="楷体" w:cs="楷体"/>
          <w:sz w:val="32"/>
          <w:szCs w:val="32"/>
          <w:lang w:val="en-US" w:eastAsia="zh-CN"/>
        </w:rPr>
        <w:t>0</w:t>
      </w:r>
      <w:r>
        <w:rPr>
          <w:rFonts w:hint="eastAsia" w:ascii="楷体" w:hAnsi="楷体" w:eastAsia="楷体" w:cs="楷体"/>
          <w:sz w:val="32"/>
          <w:szCs w:val="32"/>
        </w:rPr>
        <w:t>万元。</w:t>
      </w:r>
      <w:r>
        <w:rPr>
          <w:rFonts w:hint="eastAsia" w:eastAsia="仿宋_GB2312"/>
          <w:sz w:val="32"/>
          <w:szCs w:val="32"/>
        </w:rPr>
        <w:t>本部门</w:t>
      </w:r>
      <w:r>
        <w:rPr>
          <w:rFonts w:hint="eastAsia" w:ascii="仿宋_GB2312" w:hAnsi="Times New Roman" w:eastAsia="仿宋_GB2312" w:cs="DengXian-Regular"/>
          <w:sz w:val="32"/>
          <w:szCs w:val="32"/>
        </w:rPr>
        <w:t>2019</w:t>
      </w:r>
      <w:r>
        <w:rPr>
          <w:rFonts w:hint="eastAsia" w:eastAsia="仿宋_GB2312"/>
          <w:sz w:val="32"/>
          <w:szCs w:val="32"/>
        </w:rPr>
        <w:t>年度未发生公务接待经费支出。公务接待费支出较预算无增减变化；较</w:t>
      </w:r>
      <w:r>
        <w:rPr>
          <w:rFonts w:hint="eastAsia"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8</w:t>
      </w:r>
      <w:r>
        <w:rPr>
          <w:rFonts w:hint="eastAsia" w:eastAsia="仿宋_GB2312"/>
          <w:sz w:val="32"/>
          <w:szCs w:val="32"/>
        </w:rPr>
        <w:t>年度决算无增减变化。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4"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（一）预算绩效管理工作开展情况。</w:t>
      </w:r>
    </w:p>
    <w:p>
      <w:pPr>
        <w:adjustRightInd w:val="0"/>
        <w:snapToGrid w:val="0"/>
        <w:spacing w:line="580" w:lineRule="exact"/>
        <w:ind w:left="420" w:leftChars="20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根据财政部门预算绩效</w:t>
      </w:r>
      <w:bookmarkStart w:id="0" w:name="_GoBack"/>
      <w:bookmarkEnd w:id="0"/>
      <w:r>
        <w:rPr>
          <w:rFonts w:hint="eastAsia" w:ascii="Times New Roman" w:hAnsi="Times New Roman" w:eastAsia="仿宋_GB2312" w:cs="Times New Roman"/>
          <w:sz w:val="32"/>
          <w:szCs w:val="32"/>
        </w:rPr>
        <w:t>管理要求，本部门以“部门职责—工作活动绩效目标”为依据，制定了切实可靠的预算绩效评价实施方案,确定部门预算项目和预算额度，对评价项目进行了细化、量化，清晰描述预算项目开支范围和内容，确定预算项目的绩效目标、绩效指标和评价标准，为预算绩效控制、绩效分析、绩效评价打下好的基础。</w:t>
      </w:r>
    </w:p>
    <w:p>
      <w:pPr>
        <w:adjustRightInd w:val="0"/>
        <w:snapToGrid w:val="0"/>
        <w:spacing w:line="584"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（二）项目绩效自评结果。</w:t>
      </w:r>
    </w:p>
    <w:p>
      <w:pPr>
        <w:adjustRightInd w:val="0"/>
        <w:snapToGrid w:val="0"/>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按照县财政局要求，根据我部门制定的预算绩效评价方案，对2019年度纳入绩效评价范围的</w:t>
      </w:r>
      <w:r>
        <w:rPr>
          <w:rFonts w:hint="eastAsia" w:ascii="Times New Roman" w:hAnsi="Times New Roman" w:eastAsia="仿宋_GB2312" w:cs="Times New Roman"/>
          <w:sz w:val="32"/>
          <w:szCs w:val="32"/>
          <w:lang w:val="en-US" w:eastAsia="zh-CN"/>
        </w:rPr>
        <w:t>所有</w:t>
      </w:r>
      <w:r>
        <w:rPr>
          <w:rFonts w:hint="eastAsia" w:ascii="Times New Roman" w:hAnsi="Times New Roman" w:eastAsia="仿宋_GB2312" w:cs="Times New Roman"/>
          <w:sz w:val="32"/>
          <w:szCs w:val="32"/>
        </w:rPr>
        <w:t>项目资金的绩效预算执行情况进行了认真自评，绩效自评率100%。从自评情况看，我部</w:t>
      </w:r>
      <w:r>
        <w:rPr>
          <w:rFonts w:hint="eastAsia" w:ascii="Times New Roman" w:hAnsi="Times New Roman" w:eastAsia="仿宋_GB2312" w:cs="Times New Roman"/>
          <w:sz w:val="32"/>
          <w:szCs w:val="32"/>
          <w:lang w:val="en-US" w:eastAsia="zh-CN"/>
        </w:rPr>
        <w:t>们整体</w:t>
      </w:r>
      <w:r>
        <w:rPr>
          <w:rFonts w:hint="eastAsia"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绩效</w:t>
      </w:r>
      <w:r>
        <w:rPr>
          <w:rFonts w:hint="eastAsia" w:ascii="Times New Roman" w:hAnsi="Times New Roman" w:eastAsia="仿宋_GB2312" w:cs="Times New Roman"/>
          <w:sz w:val="32"/>
          <w:szCs w:val="32"/>
        </w:rPr>
        <w:t>评价等级为优。</w:t>
      </w:r>
    </w:p>
    <w:p>
      <w:pPr>
        <w:numPr>
          <w:ilvl w:val="0"/>
          <w:numId w:val="0"/>
        </w:numPr>
        <w:adjustRightInd w:val="0"/>
        <w:snapToGrid w:val="0"/>
        <w:spacing w:line="584"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重点项目绩效评价结果。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lang w:val="en-US" w:eastAsia="zh-CN"/>
        </w:rPr>
        <w:t>根据绩效预算管理改革要求，本部门认真开展了预算绩效管 理改革开展情况自查，对部门全面规范绩效预算编制、严格预算 执行管理、推进绩效评价工作、推进预决算信息公开等方面进行了自评，考核结果为优秀。</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本部门2019年度机关运行经费支出229.36万元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highlight w:val="none"/>
        </w:rPr>
        <w:t>比2018年度增加</w:t>
      </w:r>
      <w:r>
        <w:rPr>
          <w:rFonts w:hint="eastAsia" w:ascii="仿宋_GB2312" w:hAnsi="Times New Roman" w:eastAsia="仿宋_GB2312" w:cs="DengXian-Regular"/>
          <w:sz w:val="32"/>
          <w:szCs w:val="32"/>
          <w:highlight w:val="none"/>
          <w:lang w:val="en-US" w:eastAsia="zh-CN"/>
        </w:rPr>
        <w:t>229.36</w:t>
      </w:r>
      <w:r>
        <w:rPr>
          <w:rFonts w:hint="eastAsia" w:ascii="仿宋_GB2312" w:hAnsi="Times New Roman" w:eastAsia="仿宋_GB2312" w:cs="DengXian-Regular"/>
          <w:sz w:val="32"/>
          <w:szCs w:val="32"/>
          <w:highlight w:val="none"/>
        </w:rPr>
        <w:t>万元，增长</w:t>
      </w:r>
      <w:r>
        <w:rPr>
          <w:rFonts w:hint="eastAsia" w:ascii="仿宋_GB2312" w:hAnsi="Times New Roman" w:eastAsia="仿宋_GB2312" w:cs="DengXian-Regular"/>
          <w:sz w:val="32"/>
          <w:szCs w:val="32"/>
          <w:highlight w:val="none"/>
          <w:lang w:val="en-US" w:eastAsia="zh-CN"/>
        </w:rPr>
        <w:t>100</w:t>
      </w:r>
      <w:r>
        <w:rPr>
          <w:rFonts w:hint="eastAsia" w:ascii="仿宋_GB2312" w:hAnsi="Times New Roman" w:eastAsia="仿宋_GB2312" w:cs="DengXian-Regular"/>
          <w:sz w:val="32"/>
          <w:szCs w:val="32"/>
          <w:highlight w:val="none"/>
        </w:rPr>
        <w:t>%。主要原因是</w:t>
      </w:r>
      <w:r>
        <w:rPr>
          <w:rFonts w:hint="eastAsia" w:ascii="仿宋_GB2312" w:hAnsi="Times New Roman" w:eastAsia="仿宋_GB2312" w:cs="DengXian-Regular"/>
          <w:sz w:val="32"/>
          <w:szCs w:val="32"/>
          <w:highlight w:val="none"/>
          <w:lang w:val="en-US" w:eastAsia="zh-CN"/>
        </w:rPr>
        <w:t>机构改革</w:t>
      </w:r>
      <w:r>
        <w:rPr>
          <w:rFonts w:hint="eastAsia" w:ascii="仿宋_GB2312" w:hAnsi="Times New Roman" w:eastAsia="仿宋_GB2312" w:cs="DengXian-Regular"/>
          <w:sz w:val="32"/>
          <w:szCs w:val="32"/>
          <w:lang w:val="en-US" w:eastAsia="zh-CN"/>
        </w:rPr>
        <w:t>新增部门</w:t>
      </w:r>
      <w:r>
        <w:rPr>
          <w:rFonts w:hint="eastAsia" w:ascii="仿宋_GB2312" w:hAnsi="Times New Roman" w:eastAsia="仿宋_GB2312" w:cs="DengXian-Regular"/>
          <w:sz w:val="32"/>
          <w:szCs w:val="32"/>
        </w:rPr>
        <w:t>。</w:t>
      </w:r>
    </w:p>
    <w:p>
      <w:pPr>
        <w:keepNext/>
        <w:keepLines/>
        <w:snapToGrid w:val="0"/>
        <w:spacing w:line="580" w:lineRule="exact"/>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1辆，比上年增加1辆，主要原因是我单位为机构改革新增单位。其中，副部（省）级及以上领导用车0辆，主要领导干部用车0辆，机要通信用车0辆，应急保障用车0辆，一般公务用车1辆，特种专业技术用车0辆，离退休干部用车0辆，其他用车0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万元以上通用设备0台（套），比上年增加（减少）0套，单位价值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万元以上专用设备0台（套）比上年增加（减少）0套。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9203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2" focussize="0,0" r:id="rId26"/>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1"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25169305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o:title="image2" focussize="0,0" r:id="rId26"/>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tbl>
      <w:tblPr>
        <w:tblStyle w:val="8"/>
        <w:tblpPr w:leftFromText="180" w:rightFromText="180" w:vertAnchor="text" w:horzAnchor="page" w:tblpX="546" w:tblpY="-279"/>
        <w:tblOverlap w:val="never"/>
        <w:tblW w:w="9796" w:type="dxa"/>
        <w:tblInd w:w="0" w:type="dxa"/>
        <w:tblLayout w:type="fixed"/>
        <w:tblCellMar>
          <w:top w:w="0" w:type="dxa"/>
          <w:left w:w="0" w:type="dxa"/>
          <w:bottom w:w="0" w:type="dxa"/>
          <w:right w:w="0" w:type="dxa"/>
        </w:tblCellMar>
      </w:tblPr>
      <w:tblGrid>
        <w:gridCol w:w="3236"/>
        <w:gridCol w:w="731"/>
        <w:gridCol w:w="1010"/>
        <w:gridCol w:w="3155"/>
        <w:gridCol w:w="541"/>
        <w:gridCol w:w="1123"/>
      </w:tblGrid>
      <w:tr>
        <w:tblPrEx>
          <w:tblCellMar>
            <w:top w:w="0" w:type="dxa"/>
            <w:left w:w="0" w:type="dxa"/>
            <w:bottom w:w="0" w:type="dxa"/>
            <w:right w:w="0" w:type="dxa"/>
          </w:tblCellMar>
        </w:tblPrEx>
        <w:trPr>
          <w:trHeight w:val="489" w:hRule="atLeast"/>
        </w:trPr>
        <w:tc>
          <w:tcPr>
            <w:tcW w:w="9796"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1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香河县医疗保障局</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1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trPr>
        <w:tc>
          <w:tcPr>
            <w:tcW w:w="497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1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19906.08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521.6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19359.49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41.75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19906.08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19922.85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17.36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0.59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1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19923.44　</w:t>
            </w:r>
          </w:p>
        </w:tc>
        <w:tc>
          <w:tcPr>
            <w:tcW w:w="3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11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19923.44　</w:t>
            </w:r>
          </w:p>
        </w:tc>
      </w:tr>
      <w:tr>
        <w:tblPrEx>
          <w:tblCellMar>
            <w:top w:w="0" w:type="dxa"/>
            <w:left w:w="0" w:type="dxa"/>
            <w:bottom w:w="0" w:type="dxa"/>
            <w:right w:w="0" w:type="dxa"/>
          </w:tblCellMar>
        </w:tblPrEx>
        <w:trPr>
          <w:trHeight w:val="213" w:hRule="atLeast"/>
        </w:trPr>
        <w:tc>
          <w:tcPr>
            <w:tcW w:w="9796"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tabs>
          <w:tab w:val="left" w:pos="886"/>
        </w:tabs>
        <w:jc w:val="left"/>
      </w:pPr>
    </w:p>
    <w:p>
      <w:pPr>
        <w:jc w:val="left"/>
      </w:pPr>
    </w:p>
    <w:tbl>
      <w:tblPr>
        <w:tblStyle w:val="8"/>
        <w:tblW w:w="11570" w:type="dxa"/>
        <w:jc w:val="center"/>
        <w:tblLayout w:type="fixed"/>
        <w:tblCellMar>
          <w:top w:w="0" w:type="dxa"/>
          <w:left w:w="0" w:type="dxa"/>
          <w:bottom w:w="0" w:type="dxa"/>
          <w:right w:w="0" w:type="dxa"/>
        </w:tblCellMar>
      </w:tblPr>
      <w:tblGrid>
        <w:gridCol w:w="797"/>
        <w:gridCol w:w="45"/>
        <w:gridCol w:w="45"/>
        <w:gridCol w:w="5192"/>
        <w:gridCol w:w="1476"/>
        <w:gridCol w:w="1827"/>
        <w:gridCol w:w="382"/>
        <w:gridCol w:w="376"/>
        <w:gridCol w:w="493"/>
        <w:gridCol w:w="487"/>
        <w:gridCol w:w="450"/>
      </w:tblGrid>
      <w:tr>
        <w:tblPrEx>
          <w:tblCellMar>
            <w:top w:w="0" w:type="dxa"/>
            <w:left w:w="0" w:type="dxa"/>
            <w:bottom w:w="0" w:type="dxa"/>
            <w:right w:w="0" w:type="dxa"/>
          </w:tblCellMar>
        </w:tblPrEx>
        <w:trPr>
          <w:trHeight w:val="670" w:hRule="atLeast"/>
          <w:jc w:val="center"/>
        </w:trPr>
        <w:tc>
          <w:tcPr>
            <w:tcW w:w="1157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79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2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79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14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2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8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3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60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4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8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38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3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4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48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4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8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519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8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9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8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9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8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60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8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3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3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4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60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19906.08</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19906.08</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Arial"/>
                <w:color w:val="000000"/>
                <w:sz w:val="22"/>
              </w:rPr>
            </w:pPr>
          </w:p>
          <w:p>
            <w:pPr>
              <w:jc w:val="right"/>
              <w:rPr>
                <w:rFonts w:hint="eastAsia" w:ascii="宋体" w:hAnsi="宋体" w:eastAsia="宋体" w:cs="Arial"/>
                <w:color w:val="000000"/>
                <w:sz w:val="22"/>
              </w:rPr>
            </w:pPr>
            <w:r>
              <w:rPr>
                <w:rFonts w:hint="eastAsia" w:ascii="宋体" w:hAnsi="宋体" w:eastAsia="宋体" w:cs="Arial"/>
                <w:color w:val="000000"/>
                <w:sz w:val="22"/>
              </w:rPr>
              <w:t>504.28</w:t>
            </w:r>
          </w:p>
          <w:p>
            <w:pPr>
              <w:jc w:val="right"/>
              <w:rPr>
                <w:rFonts w:ascii="宋体" w:hAnsi="宋体" w:eastAsia="宋体" w:cs="Arial"/>
                <w:color w:val="000000"/>
                <w:sz w:val="22"/>
              </w:rPr>
            </w:pP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Arial"/>
                <w:color w:val="000000"/>
                <w:sz w:val="22"/>
              </w:rPr>
            </w:pPr>
          </w:p>
          <w:p>
            <w:pPr>
              <w:jc w:val="right"/>
              <w:rPr>
                <w:rFonts w:hint="eastAsia" w:ascii="宋体" w:hAnsi="宋体" w:eastAsia="宋体" w:cs="Arial"/>
                <w:color w:val="000000"/>
                <w:sz w:val="22"/>
              </w:rPr>
            </w:pPr>
            <w:r>
              <w:rPr>
                <w:rFonts w:hint="eastAsia" w:ascii="宋体" w:hAnsi="宋体" w:eastAsia="宋体" w:cs="Arial"/>
                <w:color w:val="000000"/>
                <w:sz w:val="22"/>
              </w:rPr>
              <w:t>504.28</w:t>
            </w:r>
          </w:p>
          <w:p>
            <w:pPr>
              <w:jc w:val="right"/>
              <w:rPr>
                <w:rFonts w:ascii="宋体" w:hAnsi="宋体" w:eastAsia="宋体" w:cs="Arial"/>
                <w:color w:val="000000"/>
                <w:sz w:val="22"/>
              </w:rPr>
            </w:pP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人力资源和社会保障管理事务</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431.76</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431.76</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2080109</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社会保险经办机构</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431.76</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431.76</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行政事业单位离退休</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66.52</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66.52</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59.58</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59.58</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2080599</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其他行政事业单位离退休支出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6.94</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6.94</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20899</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其他社会保障和就业支出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2089901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其他社会保障和就业支出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19360.05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19360.05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24.64</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24.64</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行政单位医疗</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2.89</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2.89</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21.75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21.75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21012</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财政对基本医疗保险基金的补助</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18669.25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18669.25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2101202</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财政对城乡居民基本医疗保险基金的补助</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18669.95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cs="Arial"/>
                <w:color w:val="000000"/>
                <w:sz w:val="22"/>
              </w:rPr>
              <w:t>18669.95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21013</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医疗救助</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831"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2101301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城乡医疗救助</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21015</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医疗保障管理事务</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443.93</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443.93</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2101501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行政运行</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229.4</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229.4</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2101505</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医疗保障政策管理</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28.69</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28.69</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2101506</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医疗保障经办事务</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2101550</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事业运行</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179.84</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179.84</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2210201</w:t>
            </w:r>
          </w:p>
        </w:tc>
        <w:tc>
          <w:tcPr>
            <w:tcW w:w="5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14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8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3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57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r>
        <w:tblPrEx>
          <w:tblCellMar>
            <w:top w:w="0" w:type="dxa"/>
            <w:left w:w="0" w:type="dxa"/>
            <w:bottom w:w="0" w:type="dxa"/>
            <w:right w:w="0" w:type="dxa"/>
          </w:tblCellMar>
        </w:tblPrEx>
        <w:trPr>
          <w:trHeight w:val="385" w:hRule="atLeast"/>
          <w:jc w:val="center"/>
        </w:trPr>
        <w:tc>
          <w:tcPr>
            <w:tcW w:w="1157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rPr>
            </w:pPr>
          </w:p>
        </w:tc>
      </w:tr>
    </w:tbl>
    <w:p>
      <w:pPr>
        <w:jc w:val="left"/>
      </w:pPr>
    </w:p>
    <w:p>
      <w:r>
        <w:br w:type="page"/>
      </w:r>
    </w:p>
    <w:tbl>
      <w:tblPr>
        <w:tblStyle w:val="8"/>
        <w:tblW w:w="9721" w:type="dxa"/>
        <w:jc w:val="center"/>
        <w:tblLayout w:type="fixed"/>
        <w:tblCellMar>
          <w:top w:w="0" w:type="dxa"/>
          <w:left w:w="0" w:type="dxa"/>
          <w:bottom w:w="0" w:type="dxa"/>
          <w:right w:w="0" w:type="dxa"/>
        </w:tblCellMar>
      </w:tblPr>
      <w:tblGrid>
        <w:gridCol w:w="941"/>
        <w:gridCol w:w="53"/>
        <w:gridCol w:w="111"/>
        <w:gridCol w:w="2176"/>
        <w:gridCol w:w="1134"/>
        <w:gridCol w:w="750"/>
        <w:gridCol w:w="1276"/>
        <w:gridCol w:w="708"/>
        <w:gridCol w:w="1276"/>
        <w:gridCol w:w="1296"/>
      </w:tblGrid>
      <w:tr>
        <w:tblPrEx>
          <w:tblCellMar>
            <w:top w:w="0" w:type="dxa"/>
            <w:left w:w="0" w:type="dxa"/>
            <w:bottom w:w="0" w:type="dxa"/>
            <w:right w:w="0" w:type="dxa"/>
          </w:tblCellMar>
        </w:tblPrEx>
        <w:trPr>
          <w:trHeight w:val="612" w:hRule="atLeast"/>
          <w:jc w:val="center"/>
        </w:trPr>
        <w:tc>
          <w:tcPr>
            <w:tcW w:w="972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96"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11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28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7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2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17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7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7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28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28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19922.85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961.40</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18961.45</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社会保障和就业支出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521.60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485.81</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35.79</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人力资源和社会保障管理事务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449.08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419.29</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29.79</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2080109</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社会保险经办机构</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449.08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419.29</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29.79</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20805</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行政事业单位离退休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66.52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66.52</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2080505</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机关事业单位基本养老保险缴费支出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59.58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59.58</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2080599</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其他行政事业单位离退休支出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6.94</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6.94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20899</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其他社会保障和就业支出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2089901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其他社会保障和就业支出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卫生健康支出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19359.49</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433.83</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行政事业单位医疗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24.64</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24.64</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2101101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行政单位医疗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2.89</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2.89</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2101102</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事业单位医疗</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21012</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财政对基本医疗保险基金的补助</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18669.95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18669.95</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2101202</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财政对城乡居民基本医疗保险基金的补助</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18669.95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18669.95</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21013</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医疗救助</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221.53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221.53</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2101301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城乡医疗救助</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221.53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221.53</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医疗保障管理事务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443.37</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409.19</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34.18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行政运行</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229.36</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229.36</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2101505</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医疗保障政策管理</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28.18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28.18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2101506</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医疗保障经办事务</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2101550</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事业运行</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179.83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179.83</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221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住房保障支出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22102</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住房改革支出</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2210201</w:t>
            </w:r>
          </w:p>
        </w:tc>
        <w:tc>
          <w:tcPr>
            <w:tcW w:w="21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住房公积金</w:t>
            </w:r>
          </w:p>
        </w:tc>
        <w:tc>
          <w:tcPr>
            <w:tcW w:w="11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721"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8"/>
        <w:tblW w:w="9520" w:type="dxa"/>
        <w:jc w:val="center"/>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香河县医疗保障局</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19906.08</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521.60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521.60</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19359.49</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19359.45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41.75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19906.08</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19922.85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19922.85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17.36</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0.59</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0.59</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17.36</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19923.44</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19923.44</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19923.44</w:t>
            </w: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8"/>
        <w:tblW w:w="10882" w:type="dxa"/>
        <w:jc w:val="center"/>
        <w:tblLayout w:type="fixed"/>
        <w:tblCellMar>
          <w:top w:w="0" w:type="dxa"/>
          <w:left w:w="0" w:type="dxa"/>
          <w:bottom w:w="0" w:type="dxa"/>
          <w:right w:w="0" w:type="dxa"/>
        </w:tblCellMar>
      </w:tblPr>
      <w:tblGrid>
        <w:gridCol w:w="774"/>
        <w:gridCol w:w="44"/>
        <w:gridCol w:w="44"/>
        <w:gridCol w:w="5170"/>
        <w:gridCol w:w="1728"/>
        <w:gridCol w:w="1431"/>
        <w:gridCol w:w="1691"/>
      </w:tblGrid>
      <w:tr>
        <w:tblPrEx>
          <w:tblCellMar>
            <w:top w:w="0" w:type="dxa"/>
            <w:left w:w="0" w:type="dxa"/>
            <w:bottom w:w="0" w:type="dxa"/>
            <w:right w:w="0" w:type="dxa"/>
          </w:tblCellMar>
        </w:tblPrEx>
        <w:trPr>
          <w:trHeight w:val="600" w:hRule="atLeast"/>
          <w:jc w:val="center"/>
        </w:trPr>
        <w:tc>
          <w:tcPr>
            <w:tcW w:w="10882"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7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2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7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17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2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60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8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86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517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7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6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86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6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7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60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603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19922.85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961.40</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18961.45</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社会保障和就业支出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521.6</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485.81</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35.79</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人力资源和社会保障管理事务</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449.08</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419.29</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29.79</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2080109</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社会保险经办机构</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449.08</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419.29</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29.79</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20805</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行政事业单位离退休</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66.52</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66.52</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2080505</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机关事业单位基本养老保险缴费支出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59.8</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59.8</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2080599</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其他行政事业单位离退休支出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6.94</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6.94</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20899</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其他社会保障和就业支出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2089901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其他社会保障和就业支出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卫生健康支出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19359.49</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433.83</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18925.66</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行政事业单位医疗</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24.64</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24.64</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2101101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行政单位医疗</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2.89</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2.89</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2101102</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事业单位医疗</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21.75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21.75</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21012</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财政对基本医疗保险基金的补助</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18669.95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18669.95</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2101202</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财政对城乡居民基本医疗保险基金的补助</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18669.95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18669.95</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21013</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医疗救助</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2101301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城乡医疗救助</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221.53</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医疗保障管理事务</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443.37</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409.19</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ind w:right="110"/>
              <w:jc w:val="right"/>
              <w:rPr>
                <w:rFonts w:ascii="宋体" w:hAnsi="宋体" w:eastAsia="宋体" w:cs="Arial"/>
                <w:color w:val="000000"/>
                <w:sz w:val="22"/>
              </w:rPr>
            </w:pPr>
            <w:r>
              <w:rPr>
                <w:rFonts w:hint="eastAsia" w:ascii="宋体" w:hAnsi="宋体" w:eastAsia="宋体" w:cs="Arial"/>
                <w:color w:val="000000"/>
                <w:sz w:val="22"/>
              </w:rPr>
              <w:t>34.18</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2101501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行政运行</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229.36</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229.36</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2101505</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医疗保障政策管理</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28.18</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28.18</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2101506</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医疗保障经办事务</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6</w:t>
            </w: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2101550</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事业运行</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179.83</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179.83</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221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住房保障支出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22102</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住房改革支出</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2210201</w:t>
            </w: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Arial"/>
                <w:color w:val="000000"/>
                <w:sz w:val="22"/>
              </w:rPr>
            </w:pPr>
            <w:r>
              <w:rPr>
                <w:rFonts w:hint="eastAsia" w:ascii="宋体" w:hAnsi="宋体" w:eastAsia="宋体" w:cs="Arial"/>
                <w:color w:val="000000"/>
                <w:sz w:val="22"/>
              </w:rPr>
              <w:t xml:space="preserve">  住房公积金</w:t>
            </w: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r>
              <w:rPr>
                <w:rFonts w:hint="eastAsia" w:ascii="宋体" w:hAnsi="宋体" w:eastAsia="宋体" w:cs="Arial"/>
                <w:color w:val="000000"/>
                <w:sz w:val="22"/>
              </w:rPr>
              <w:t>41.75</w:t>
            </w: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Arial"/>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6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tbl>
      <w:tblPr>
        <w:tblStyle w:val="8"/>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681.59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219.65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235.87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88.74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87.58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48.8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126.33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93.37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59.58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6.05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24.64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3.75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41.75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8.74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60.16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3.09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6.94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46.85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48.99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4.25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0.15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6.58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4.07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2.58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741.75</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219.65</w:t>
            </w:r>
          </w:p>
        </w:tc>
      </w:tr>
    </w:tbl>
    <w:p/>
    <w:tbl>
      <w:tblPr>
        <w:tblStyle w:val="8"/>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8"/>
        <w:tblW w:w="9510" w:type="dxa"/>
        <w:jc w:val="center"/>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楷体" w:hAnsi="楷体" w:eastAsia="楷体" w:cs="楷体"/>
          <w:sz w:val="32"/>
          <w:szCs w:val="32"/>
          <w:lang w:eastAsia="zh-CN"/>
        </w:rPr>
      </w:pPr>
      <w:r>
        <w:rPr>
          <w:rFonts w:hint="eastAsia" w:ascii="楷体" w:hAnsi="楷体" w:eastAsia="楷体" w:cs="楷体"/>
          <w:sz w:val="32"/>
          <w:szCs w:val="32"/>
        </w:rPr>
        <w:t>本部门本年度无相关收入（或支出、收支及结转结余等）情况，按要求空表列示</w:t>
      </w:r>
      <w:r>
        <w:rPr>
          <w:rFonts w:hint="eastAsia" w:ascii="楷体" w:hAnsi="楷体" w:eastAsia="楷体" w:cs="楷体"/>
          <w:sz w:val="32"/>
          <w:szCs w:val="32"/>
          <w:lang w:eastAsia="zh-CN"/>
        </w:rPr>
        <w:t>。</w:t>
      </w:r>
    </w:p>
    <w:p>
      <w:pPr>
        <w:rPr>
          <w:rFonts w:hint="eastAsia" w:ascii="楷体" w:hAnsi="楷体" w:eastAsia="楷体" w:cs="楷体"/>
          <w:sz w:val="32"/>
          <w:szCs w:val="32"/>
        </w:rPr>
      </w:pPr>
    </w:p>
    <w:tbl>
      <w:tblPr>
        <w:tblStyle w:val="8"/>
        <w:tblW w:w="9918" w:type="dxa"/>
        <w:jc w:val="center"/>
        <w:tblLayout w:type="fixed"/>
        <w:tblCellMar>
          <w:top w:w="0" w:type="dxa"/>
          <w:left w:w="0" w:type="dxa"/>
          <w:bottom w:w="0" w:type="dxa"/>
          <w:right w:w="0" w:type="dxa"/>
        </w:tblCellMar>
      </w:tblPr>
      <w:tblGrid>
        <w:gridCol w:w="1169"/>
        <w:gridCol w:w="67"/>
        <w:gridCol w:w="67"/>
        <w:gridCol w:w="4367"/>
        <w:gridCol w:w="872"/>
        <w:gridCol w:w="1688"/>
        <w:gridCol w:w="1688"/>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16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3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7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1169"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3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val="en-US" w:eastAsia="zh-CN"/>
              </w:rPr>
              <w:t>香河县医疗保障局</w:t>
            </w:r>
          </w:p>
        </w:tc>
        <w:tc>
          <w:tcPr>
            <w:tcW w:w="8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7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6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248"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3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6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6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本部门本年度无相关收入（或支出、收支及结转结余等）情况，按要求空表列示</w:t>
      </w:r>
      <w:r>
        <w:rPr>
          <w:rFonts w:hint="eastAsia" w:ascii="楷体" w:hAnsi="楷体" w:eastAsia="楷体" w:cs="楷体"/>
          <w:sz w:val="32"/>
          <w:szCs w:val="32"/>
          <w:lang w:eastAsia="zh-CN"/>
        </w:rPr>
        <w:t>。</w:t>
      </w:r>
      <w:r>
        <w:br w:type="page"/>
      </w:r>
    </w:p>
    <w:p>
      <w:r>
        <w:pict>
          <v:rect id="_x0000_s1027" o:spid="_x0000_s1027" o:spt="1" style="position:absolute;left:0pt;margin-left:-70.5pt;margin-top:-85.25pt;height:841.15pt;width:595.1pt;z-index:25169408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3" w:type="first"/>
      <w:headerReference r:id="rId22" w:type="default"/>
      <w:footerReference r:id="rId24"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2" o:spid="_x0000_s2092"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- 7 -</w:t>
                </w:r>
                <w:r>
                  <w:rPr>
                    <w:rFonts w:ascii="Times New Roman" w:hAns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100" o:spid="_x0000_s2100"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9" o:spid="_x0000_s2069"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7" o:spid="_x0000_s2077"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- 12 -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16848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5" o:spid="_x0000_s2065" o:spt="203" style="position:absolute;left:0pt;margin-left:-2.15pt;margin-top:59pt;height:32.8pt;width:596.85pt;mso-position-horizontal-relative:page;mso-position-vertical-relative:page;z-index:251687936;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88960;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1685888;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6912;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68179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281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6" o:spid="_x0000_s2096" o:spt="203" style="position:absolute;left:0pt;margin-left:0pt;margin-top:53.75pt;height:31.5pt;width:594.8pt;mso-position-horizontal-relative:page;mso-position-vertical-relative:page;z-index:25167564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7667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9" o:spid="_x0000_s2089" o:spt="203" style="position:absolute;left:0pt;margin-left:2.25pt;margin-top:45.75pt;height:32.05pt;width:239.85pt;mso-position-horizontal-relative:page;mso-position-vertical-relative:page;z-index:251669504;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8480;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3" o:spid="_x0000_s2073" o:spt="203" style="position:absolute;left:0pt;margin-left:0pt;margin-top:0pt;height:37.85pt;width:594.8pt;mso-position-horizontal-relative:page;mso-position-vertical-relative:page;z-index:251670528;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155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2" o:spid="_x0000_s2082" o:spt="203" style="position:absolute;left:0pt;margin-top:29.75pt;height:32pt;width:157.5pt;mso-position-horizontal:left;mso-position-horizontal-relative:page;mso-position-vertical-relative:page;z-index:251673600;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72576;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EC4AD"/>
    <w:multiLevelType w:val="singleLevel"/>
    <w:tmpl w:val="ADAEC4AD"/>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125FB"/>
    <w:rsid w:val="00034065"/>
    <w:rsid w:val="00043662"/>
    <w:rsid w:val="000446A7"/>
    <w:rsid w:val="00047821"/>
    <w:rsid w:val="00054F29"/>
    <w:rsid w:val="0007063E"/>
    <w:rsid w:val="00073392"/>
    <w:rsid w:val="00073F4E"/>
    <w:rsid w:val="00086C89"/>
    <w:rsid w:val="000A39FB"/>
    <w:rsid w:val="000C6A51"/>
    <w:rsid w:val="00117548"/>
    <w:rsid w:val="00117746"/>
    <w:rsid w:val="00147B2F"/>
    <w:rsid w:val="00163F95"/>
    <w:rsid w:val="00171937"/>
    <w:rsid w:val="00180A9A"/>
    <w:rsid w:val="001829C0"/>
    <w:rsid w:val="00184809"/>
    <w:rsid w:val="00192112"/>
    <w:rsid w:val="001B0127"/>
    <w:rsid w:val="001B4247"/>
    <w:rsid w:val="001C12D5"/>
    <w:rsid w:val="001C69F7"/>
    <w:rsid w:val="001D6F97"/>
    <w:rsid w:val="001E798F"/>
    <w:rsid w:val="00232C21"/>
    <w:rsid w:val="00256611"/>
    <w:rsid w:val="002650EC"/>
    <w:rsid w:val="00267D7F"/>
    <w:rsid w:val="002A6C46"/>
    <w:rsid w:val="002C19B5"/>
    <w:rsid w:val="002C28C9"/>
    <w:rsid w:val="003016D9"/>
    <w:rsid w:val="00303BF1"/>
    <w:rsid w:val="0036638B"/>
    <w:rsid w:val="00393C00"/>
    <w:rsid w:val="003A236B"/>
    <w:rsid w:val="003A4EE8"/>
    <w:rsid w:val="003B244E"/>
    <w:rsid w:val="003F0C10"/>
    <w:rsid w:val="0042788F"/>
    <w:rsid w:val="004416C2"/>
    <w:rsid w:val="00442CC2"/>
    <w:rsid w:val="00446244"/>
    <w:rsid w:val="00467C90"/>
    <w:rsid w:val="00473C20"/>
    <w:rsid w:val="00482DDF"/>
    <w:rsid w:val="004D61CB"/>
    <w:rsid w:val="005011D6"/>
    <w:rsid w:val="00503F2E"/>
    <w:rsid w:val="00536F7D"/>
    <w:rsid w:val="00552226"/>
    <w:rsid w:val="00566120"/>
    <w:rsid w:val="00577263"/>
    <w:rsid w:val="00582E6D"/>
    <w:rsid w:val="005954D5"/>
    <w:rsid w:val="005A53FA"/>
    <w:rsid w:val="005B142C"/>
    <w:rsid w:val="005C3CA8"/>
    <w:rsid w:val="005D1293"/>
    <w:rsid w:val="005E291D"/>
    <w:rsid w:val="00622275"/>
    <w:rsid w:val="0062247D"/>
    <w:rsid w:val="00644D5F"/>
    <w:rsid w:val="00652771"/>
    <w:rsid w:val="00657F86"/>
    <w:rsid w:val="006727AD"/>
    <w:rsid w:val="00673AC2"/>
    <w:rsid w:val="00691425"/>
    <w:rsid w:val="006A516E"/>
    <w:rsid w:val="006B0830"/>
    <w:rsid w:val="006B1F27"/>
    <w:rsid w:val="006F5E44"/>
    <w:rsid w:val="00716E2B"/>
    <w:rsid w:val="00766B23"/>
    <w:rsid w:val="00770F18"/>
    <w:rsid w:val="00773B74"/>
    <w:rsid w:val="0078290C"/>
    <w:rsid w:val="00784082"/>
    <w:rsid w:val="007B36AC"/>
    <w:rsid w:val="007C06CA"/>
    <w:rsid w:val="00814077"/>
    <w:rsid w:val="008163FB"/>
    <w:rsid w:val="0082605B"/>
    <w:rsid w:val="00855C36"/>
    <w:rsid w:val="00857DBE"/>
    <w:rsid w:val="008701BC"/>
    <w:rsid w:val="008713BE"/>
    <w:rsid w:val="0088065E"/>
    <w:rsid w:val="00883D92"/>
    <w:rsid w:val="008A5362"/>
    <w:rsid w:val="008F21F1"/>
    <w:rsid w:val="008F221B"/>
    <w:rsid w:val="008F5A2D"/>
    <w:rsid w:val="00912DFD"/>
    <w:rsid w:val="00921602"/>
    <w:rsid w:val="00953A8C"/>
    <w:rsid w:val="00957EA1"/>
    <w:rsid w:val="00966E5B"/>
    <w:rsid w:val="009B4EF0"/>
    <w:rsid w:val="009D271F"/>
    <w:rsid w:val="009E4FFA"/>
    <w:rsid w:val="00A64610"/>
    <w:rsid w:val="00A929C2"/>
    <w:rsid w:val="00A96DC7"/>
    <w:rsid w:val="00AC7E4B"/>
    <w:rsid w:val="00AD097F"/>
    <w:rsid w:val="00B025B6"/>
    <w:rsid w:val="00B05FC8"/>
    <w:rsid w:val="00B63B0E"/>
    <w:rsid w:val="00B8241B"/>
    <w:rsid w:val="00B844F4"/>
    <w:rsid w:val="00BA06A1"/>
    <w:rsid w:val="00BA770A"/>
    <w:rsid w:val="00BC619C"/>
    <w:rsid w:val="00BD1D7C"/>
    <w:rsid w:val="00C054DE"/>
    <w:rsid w:val="00C2759E"/>
    <w:rsid w:val="00C679A9"/>
    <w:rsid w:val="00C7541C"/>
    <w:rsid w:val="00C75B46"/>
    <w:rsid w:val="00C875C8"/>
    <w:rsid w:val="00CA7AAA"/>
    <w:rsid w:val="00CB4E8D"/>
    <w:rsid w:val="00CC0FAA"/>
    <w:rsid w:val="00CC5389"/>
    <w:rsid w:val="00CD0736"/>
    <w:rsid w:val="00CD1C76"/>
    <w:rsid w:val="00CD36D6"/>
    <w:rsid w:val="00D1570F"/>
    <w:rsid w:val="00D32830"/>
    <w:rsid w:val="00DA5967"/>
    <w:rsid w:val="00DB7153"/>
    <w:rsid w:val="00DB7F05"/>
    <w:rsid w:val="00DC430B"/>
    <w:rsid w:val="00DE2332"/>
    <w:rsid w:val="00E028C3"/>
    <w:rsid w:val="00E14F77"/>
    <w:rsid w:val="00E17095"/>
    <w:rsid w:val="00E3076B"/>
    <w:rsid w:val="00E36978"/>
    <w:rsid w:val="00E82A1E"/>
    <w:rsid w:val="00EA05EC"/>
    <w:rsid w:val="00EA614D"/>
    <w:rsid w:val="00EC06F4"/>
    <w:rsid w:val="00EC1364"/>
    <w:rsid w:val="00EC552D"/>
    <w:rsid w:val="00EE4E36"/>
    <w:rsid w:val="00EF3026"/>
    <w:rsid w:val="00F665F4"/>
    <w:rsid w:val="00FB723E"/>
    <w:rsid w:val="00FD225F"/>
    <w:rsid w:val="00FE0B24"/>
    <w:rsid w:val="02072EC7"/>
    <w:rsid w:val="053F754C"/>
    <w:rsid w:val="05B00A30"/>
    <w:rsid w:val="0A5B3090"/>
    <w:rsid w:val="0B011416"/>
    <w:rsid w:val="0E615B04"/>
    <w:rsid w:val="10CE6B39"/>
    <w:rsid w:val="11F22ED2"/>
    <w:rsid w:val="15031B2A"/>
    <w:rsid w:val="21DB0261"/>
    <w:rsid w:val="225C621B"/>
    <w:rsid w:val="23BA1E64"/>
    <w:rsid w:val="24B0595A"/>
    <w:rsid w:val="27C62B73"/>
    <w:rsid w:val="2A630899"/>
    <w:rsid w:val="31C2036A"/>
    <w:rsid w:val="320D02A5"/>
    <w:rsid w:val="321D7AD0"/>
    <w:rsid w:val="348E566F"/>
    <w:rsid w:val="35454B5C"/>
    <w:rsid w:val="356D3114"/>
    <w:rsid w:val="3A226944"/>
    <w:rsid w:val="3AEE6A48"/>
    <w:rsid w:val="3BDA2E00"/>
    <w:rsid w:val="3C1620AA"/>
    <w:rsid w:val="3D8F080F"/>
    <w:rsid w:val="40B34493"/>
    <w:rsid w:val="44CE1FA4"/>
    <w:rsid w:val="45AB28E5"/>
    <w:rsid w:val="487F73ED"/>
    <w:rsid w:val="4A347EAE"/>
    <w:rsid w:val="4E8F2934"/>
    <w:rsid w:val="50087567"/>
    <w:rsid w:val="50AB47F1"/>
    <w:rsid w:val="51FD5BD6"/>
    <w:rsid w:val="52600405"/>
    <w:rsid w:val="52627603"/>
    <w:rsid w:val="529B4319"/>
    <w:rsid w:val="53E76C4E"/>
    <w:rsid w:val="57773DD6"/>
    <w:rsid w:val="578B79AB"/>
    <w:rsid w:val="59D303DE"/>
    <w:rsid w:val="5AF711EE"/>
    <w:rsid w:val="5CCD3FD5"/>
    <w:rsid w:val="5DC45437"/>
    <w:rsid w:val="60811C22"/>
    <w:rsid w:val="60D36939"/>
    <w:rsid w:val="61FA5F9D"/>
    <w:rsid w:val="62835F13"/>
    <w:rsid w:val="62B13633"/>
    <w:rsid w:val="64CD6910"/>
    <w:rsid w:val="6563109A"/>
    <w:rsid w:val="6789158D"/>
    <w:rsid w:val="67D81BA4"/>
    <w:rsid w:val="6925203B"/>
    <w:rsid w:val="6AAF1C96"/>
    <w:rsid w:val="6DF90FCB"/>
    <w:rsid w:val="6E9A6E94"/>
    <w:rsid w:val="6EFB0201"/>
    <w:rsid w:val="727146C2"/>
    <w:rsid w:val="755171D4"/>
    <w:rsid w:val="75681757"/>
    <w:rsid w:val="75A346A8"/>
    <w:rsid w:val="774077B2"/>
    <w:rsid w:val="7976456A"/>
    <w:rsid w:val="797D02B2"/>
    <w:rsid w:val="79B9382C"/>
    <w:rsid w:val="7B043B76"/>
    <w:rsid w:val="7C041A6A"/>
    <w:rsid w:val="7C7A36C2"/>
    <w:rsid w:val="7D901D52"/>
    <w:rsid w:val="7E327570"/>
    <w:rsid w:val="7FF107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beforeLines="0" w:after="260" w:afterLines="0" w:line="416" w:lineRule="auto"/>
      <w:outlineLvl w:val="1"/>
    </w:pPr>
    <w:rPr>
      <w:b/>
      <w:bCs/>
      <w:kern w:val="2"/>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4"/>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7"/>
    <w:qFormat/>
    <w:uiPriority w:val="99"/>
    <w:rPr>
      <w:rFonts w:asciiTheme="minorHAnsi" w:hAnsiTheme="minorHAnsi" w:eastAsiaTheme="minorEastAsia"/>
      <w:sz w:val="18"/>
      <w:szCs w:val="18"/>
    </w:rPr>
  </w:style>
  <w:style w:type="character" w:customStyle="1" w:styleId="12">
    <w:name w:val="页脚 Char"/>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Char"/>
    <w:basedOn w:val="10"/>
    <w:link w:val="5"/>
    <w:semiHidden/>
    <w:qFormat/>
    <w:uiPriority w:val="99"/>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3.png"/><Relationship Id="rId26" Type="http://schemas.openxmlformats.org/officeDocument/2006/relationships/image" Target="media/image2.GIF"/><Relationship Id="rId25" Type="http://schemas.openxmlformats.org/officeDocument/2006/relationships/theme" Target="theme/theme1.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EDFB9-2DE5-4BE2-BCA1-9E02D5A07D9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31</Pages>
  <Words>1890</Words>
  <Characters>10776</Characters>
  <Lines>89</Lines>
  <Paragraphs>25</Paragraphs>
  <TotalTime>7</TotalTime>
  <ScaleCrop>false</ScaleCrop>
  <LinksUpToDate>false</LinksUpToDate>
  <CharactersWithSpaces>12641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2020-09-30T02:11:00Z</dcterms:created>
  <dc:creator>王明新TIAD</dc:creator>
  <cp:lastModifiedBy>香河县社保股</cp:lastModifiedBy>
  <cp:lastPrinted>2020-07-30T02:37:00Z</cp:lastPrinted>
  <dcterms:modified xsi:type="dcterms:W3CDTF">2021-05-28T09:27:56Z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21AB0000DF6E473992E6B56E55DD72E3</vt:lpwstr>
  </property>
</Properties>
</file>